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0" w:line="276" w:lineRule="auto"/>
      </w:pPr>
      <w:r>
        <w:rPr>
          <w:sz w:val="16"/>
          <w:szCs w:val="16"/>
          <w:color w:val="6B7280"/>
        </w:rPr>
        <w:t xml:space="preserve">kupbiz.pl · Wzory dokumentów M&amp;A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360" w:after="0" w:line="276" w:lineRule="auto"/>
      </w:pPr>
      <w:r>
        <w:rPr>
          <w:sz w:val="32"/>
          <w:szCs w:val="32"/>
          <w:b/>
        </w:rPr>
        <w:t xml:space="preserve">UMOWA SPRZEDAŻY PRZEDSIĘBIORSTWA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zawarta w dniu </w:t>
      </w:r>
      <w:r>
        <w:rPr>
          <w:sz w:val="21"/>
          <w:szCs w:val="21"/>
          <w:b/>
        </w:rPr>
        <w:t xml:space="preserve">[DATA]</w:t>
      </w:r>
      <w:r>
        <w:rPr>
          <w:sz w:val="21"/>
          <w:szCs w:val="21"/>
        </w:rPr>
        <w:t xml:space="preserve"> w </w:t>
      </w:r>
      <w:r>
        <w:rPr>
          <w:sz w:val="21"/>
          <w:szCs w:val="21"/>
          <w:b/>
        </w:rPr>
        <w:t xml:space="preserve">[MIEJSCOWOŚĆ]</w:t>
      </w:r>
      <w:r>
        <w:rPr>
          <w:sz w:val="21"/>
          <w:szCs w:val="21"/>
        </w:rPr>
        <w:t xml:space="preserve"> pomiędzy: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[NAZWA / IMIĘ I NAZWISKO]</w:t>
      </w:r>
      <w:r>
        <w:rPr>
          <w:sz w:val="21"/>
          <w:szCs w:val="21"/>
        </w:rPr>
        <w:t xml:space="preserve">, z siedzibą w [ADRES], NIP [NIP], REGON [REGON], wpisanym do [CEIDG / KRS] pod numerem [NUMER] — zwanym dalej </w:t>
      </w:r>
      <w:r>
        <w:rPr>
          <w:sz w:val="21"/>
          <w:szCs w:val="21"/>
          <w:b/>
        </w:rPr>
        <w:t xml:space="preserve">Sprzedającym</w:t>
      </w:r>
      <w:r>
        <w:rPr>
          <w:sz w:val="21"/>
          <w:szCs w:val="21"/>
        </w:rPr>
        <w:t xml:space="preserve">,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a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[NAZWA / IMIĘ I NAZWISKO]</w:t>
      </w:r>
      <w:r>
        <w:rPr>
          <w:sz w:val="21"/>
          <w:szCs w:val="21"/>
        </w:rPr>
        <w:t xml:space="preserve">, z siedzibą w [ADRES], NIP [NIP], wpisanym do [CEIDG / KRS] pod numerem [NUMER] — zwanym dalej </w:t>
      </w:r>
      <w:r>
        <w:rPr>
          <w:sz w:val="21"/>
          <w:szCs w:val="21"/>
          <w:b/>
        </w:rPr>
        <w:t xml:space="preserve">Kupującym</w:t>
      </w:r>
      <w:r>
        <w:rPr>
          <w:sz w:val="21"/>
          <w:szCs w:val="21"/>
        </w:rPr>
        <w:t xml:space="preserve">,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łącznie zwanymi </w:t>
      </w:r>
      <w:r>
        <w:rPr>
          <w:sz w:val="21"/>
          <w:szCs w:val="21"/>
          <w:b/>
        </w:rPr>
        <w:t xml:space="preserve">Stronami</w:t>
      </w:r>
      <w:r>
        <w:rPr>
          <w:sz w:val="21"/>
          <w:szCs w:val="21"/>
        </w:rPr>
        <w:t xml:space="preserve">.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1. Przedmiot umowy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Sprzedający oświadcza, że prowadzi przedsiębiorstwo pod nazwą </w:t>
      </w:r>
      <w:r>
        <w:rPr>
          <w:sz w:val="21"/>
          <w:szCs w:val="21"/>
          <w:b/>
        </w:rPr>
        <w:t xml:space="preserve">[NAZWA]</w:t>
      </w:r>
      <w:r>
        <w:rPr>
          <w:sz w:val="21"/>
          <w:szCs w:val="21"/>
        </w:rPr>
        <w:t xml:space="preserve"> w lokalu przy [ADRES], stanowiące zorganizowany zespół składników niematerialnych i materialnych przeznaczonych do prowadzenia działalności gospodarczej w rozumieniu </w:t>
      </w:r>
      <w:r>
        <w:rPr>
          <w:sz w:val="21"/>
          <w:szCs w:val="21"/>
          <w:b/>
        </w:rPr>
        <w:t xml:space="preserve">art. 55¹ Kodeksu cywilnego</w:t>
      </w:r>
      <w:r>
        <w:rPr>
          <w:sz w:val="21"/>
          <w:szCs w:val="21"/>
        </w:rPr>
        <w:t xml:space="preserve"> (dalej: </w:t>
      </w:r>
      <w:r>
        <w:rPr>
          <w:sz w:val="21"/>
          <w:szCs w:val="21"/>
          <w:b/>
        </w:rPr>
        <w:t xml:space="preserve">Przedsiębiorstwo</w:t>
      </w:r>
      <w:r>
        <w:rPr>
          <w:sz w:val="21"/>
          <w:szCs w:val="21"/>
        </w:rPr>
        <w:t xml:space="preserve">).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Sprzedający sprzedaje, a Kupujący kupuje Przedsiębiorstwo, w skład którego wchodzą w szczególności: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oznaczenie indywidualizujące Przedsiębiorstwo (nazwa, logo, oznaczenia handlowe),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środki trwałe i wyposażenie wymienione w </w:t>
      </w:r>
      <w:r>
        <w:rPr>
          <w:sz w:val="21"/>
          <w:szCs w:val="21"/>
          <w:b/>
        </w:rPr>
        <w:t xml:space="preserve">Załączniku nr 1</w:t>
      </w:r>
      <w:r>
        <w:rPr>
          <w:sz w:val="21"/>
          <w:szCs w:val="21"/>
        </w:rPr>
        <w:t xml:space="preserve">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zapasy i towar handlowy wymienione w </w:t>
      </w:r>
      <w:r>
        <w:rPr>
          <w:sz w:val="21"/>
          <w:szCs w:val="21"/>
          <w:b/>
        </w:rPr>
        <w:t xml:space="preserve">Załączniku nr 2</w:t>
      </w:r>
      <w:r>
        <w:rPr>
          <w:sz w:val="21"/>
          <w:szCs w:val="21"/>
        </w:rPr>
        <w:t xml:space="preserve">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prawa z umowy najmu lokalu, przenoszone odrębnym porozumieniem o cesji,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prawa z umów z dostawcami i klientami wymienionych w </w:t>
      </w:r>
      <w:r>
        <w:rPr>
          <w:sz w:val="21"/>
          <w:szCs w:val="21"/>
          <w:b/>
        </w:rPr>
        <w:t xml:space="preserve">Załączniku nr 3</w:t>
      </w:r>
      <w:r>
        <w:rPr>
          <w:sz w:val="21"/>
          <w:szCs w:val="21"/>
        </w:rPr>
        <w:t xml:space="preserve">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baza klientów, dokumentacja operacyjna, know-how i receptury,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prawa do domeny [DOMENA], kont w mediach społecznościowych i profilu w wizytówce Google,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majątkowe prawa autorskie do materiałów wymienionych w </w:t>
      </w:r>
      <w:r>
        <w:rPr>
          <w:sz w:val="21"/>
          <w:szCs w:val="21"/>
          <w:b/>
        </w:rPr>
        <w:t xml:space="preserve">Załączniku nr 4</w:t>
      </w:r>
      <w:r>
        <w:rPr>
          <w:sz w:val="21"/>
          <w:szCs w:val="21"/>
        </w:rPr>
        <w:t xml:space="preserve">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decyzje, zezwolenia i koncesje — w zakresie, w jakim przepisy dopuszczają ich przeniesienie.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Zgodnie z </w:t>
      </w:r>
      <w:r>
        <w:rPr>
          <w:sz w:val="21"/>
          <w:szCs w:val="21"/>
          <w:b/>
        </w:rPr>
        <w:t xml:space="preserve">art. 55² Kodeksu cywilnego</w:t>
      </w:r>
      <w:r>
        <w:rPr>
          <w:sz w:val="21"/>
          <w:szCs w:val="21"/>
        </w:rPr>
        <w:t xml:space="preserve"> niniejsza czynność obejmuje wszystko, co wchodzi w skład Przedsiębiorstwa, z wyraźnym </w:t>
      </w:r>
      <w:r>
        <w:rPr>
          <w:sz w:val="21"/>
          <w:szCs w:val="21"/>
          <w:b/>
        </w:rPr>
        <w:t xml:space="preserve">wyłączeniem</w:t>
      </w:r>
      <w:r>
        <w:rPr>
          <w:sz w:val="21"/>
          <w:szCs w:val="21"/>
        </w:rPr>
        <w:t xml:space="preserve">: [WYMIENIĆ — np. środki pieniężne w kasie i na rachunkach, należności powstałe przed Dniem Zamknięcia, pojazd marki [MARKA] nr rej. [NUMER], zobowiązania wskazane w § 4 ust. 3].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Strony zgodnie oświadczają, że przedmiotem umowy jest przedsiębiorstwo jako całość gospodarcza zdolna do samodzielnego prowadzenia działalności, a nie zbiór poszczególnych składników majątkowych.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2. Oświadczenia i zapewnienia Sprzedającego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Sprzedający oświadcza i zapewnia, że według stanu na dzień zawarcia niniejszej umowy: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przysługuje mu prawo własności składników Przedsiębiorstwa i jest uprawniony do rozporządzania nimi, a składniki te nie są obciążone prawami osób trzecich, zastawem, zastawem rejestrowym ani zastawem skarbowym, poza ujawnionymi w </w:t>
      </w:r>
      <w:r>
        <w:rPr>
          <w:sz w:val="21"/>
          <w:szCs w:val="21"/>
          <w:b/>
        </w:rPr>
        <w:t xml:space="preserve">Załączniku nr 5</w:t>
      </w:r>
      <w:r>
        <w:rPr>
          <w:sz w:val="21"/>
          <w:szCs w:val="21"/>
        </w:rPr>
        <w:t xml:space="preserve">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nie toczy się wobec niego postępowanie egzekucyjne, upadłościowe ani restrukturyzacyjne i nie istnieją podstawy do jego wszczęcia,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nie zalega z zapłatą podatków, składek na ubezpieczenia społeczne ani innych należności publicznoprawnych, co potwierdzają zaświadczenia stanowiące </w:t>
      </w:r>
      <w:r>
        <w:rPr>
          <w:sz w:val="21"/>
          <w:szCs w:val="21"/>
          <w:b/>
        </w:rPr>
        <w:t xml:space="preserve">Załącznik nr 6</w:t>
      </w:r>
      <w:r>
        <w:rPr>
          <w:sz w:val="21"/>
          <w:szCs w:val="21"/>
        </w:rPr>
        <w:t xml:space="preserve">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nie zalega z wynagrodzeniami i świadczeniami wobec pracowników ani ze zobowiązaniami wobec dostawców, poza wykazanymi w </w:t>
      </w:r>
      <w:r>
        <w:rPr>
          <w:sz w:val="21"/>
          <w:szCs w:val="21"/>
          <w:b/>
        </w:rPr>
        <w:t xml:space="preserve">Załączniku nr 7</w:t>
      </w:r>
      <w:r>
        <w:rPr>
          <w:sz w:val="21"/>
          <w:szCs w:val="21"/>
        </w:rPr>
        <w:t xml:space="preserve">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dokumentacja finansowa przekazana Kupującemu w toku badania rzetelnie odzwierciedla sytuację Przedsiębiorstwa, a dane o przychodach i wyniku za ostatnie [24] miesiące są zgodne z rzeczywistością,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nie są mu znane okoliczności mogące istotnie i niekorzystnie wpłynąć na działalność Przedsiębiorstwa po Dniu Zamknięcia, w szczególności zapowiedzi rozwiązania umów przez kluczowych kontrahentów lub odejścia kluczowych pracowników,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7.	</w:t>
      </w:r>
      <w:r>
        <w:rPr>
          <w:sz w:val="21"/>
          <w:szCs w:val="21"/>
        </w:rPr>
        <w:t xml:space="preserve">nie toczą się ani nie są zapowiedziane spory sądowe, administracyjne ani reklamacyjne dotyczące Przedsiębiorstwa, poza wykazanymi w </w:t>
      </w:r>
      <w:r>
        <w:rPr>
          <w:sz w:val="21"/>
          <w:szCs w:val="21"/>
          <w:b/>
        </w:rPr>
        <w:t xml:space="preserve">Załączniku nr 8</w:t>
      </w:r>
      <w:r>
        <w:rPr>
          <w:sz w:val="21"/>
          <w:szCs w:val="21"/>
        </w:rPr>
        <w:t xml:space="preserve">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8.	</w:t>
      </w:r>
      <w:r>
        <w:rPr>
          <w:sz w:val="21"/>
          <w:szCs w:val="21"/>
        </w:rPr>
        <w:t xml:space="preserve">Przedsiębiorstwo jest prowadzone zgodnie z przepisami prawa, posiada wymagane zezwolenia i spełnia wymogi sanitarne oraz przeciwpożarowe.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Nieprawdziwość któregokolwiek z powyższych zapewnień uprawnia Kupującego do żądania obniżenia ceny albo naprawienia szkody na zasadach ogólnych, a w przypadku zapewnień z ust. 1–3 — także do odstąpienia od umowy w terminie [LICZBA] miesięcy od dnia powzięcia wiadomości o naruszeniu.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3. Cena i płatność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Strony ustalają cenę sprzedaży Przedsiębiorstwa na kwotę 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(słownie: [KWOTA SŁOWNIE]).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Cena zostanie zapłacona w następujący sposób: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— zaliczona z tytułu zadatku wpłaconego na podstawie umowy rezerwacyjnej z dnia [DATA],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— przelewem na rachunek [NUMER RACHUNKU] najpóźniej w Dniu Zamknięcia,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— w terminie [LICZBA] miesięcy od Dnia Zamknięcia, pod warunkiem [OPISAĆ — np. osiągnięcia uzgodnionego poziomu przychodów].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  <w:b/>
        </w:rPr>
        <w:t xml:space="preserve">Alokacja ceny</w:t>
      </w:r>
      <w:r>
        <w:rPr>
          <w:sz w:val="21"/>
          <w:szCs w:val="21"/>
        </w:rPr>
        <w:t xml:space="preserve"> na poszczególne składniki Przedsiębiorstwa, dla celów podatkowych i ewidencyjnych: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środki trwałe i wyposażenie — [KWOTA] zł,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zapasy i towar handlowy — [KWOTA] zł,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prawa majątkowe, w tym oznaczenie Przedsiębiorstwa, baza klientów i know-how — [KWOTA] zł,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pozostałe składniki — [KWOTA] zł.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Strony przyjmują do wiadomości, że zbycie przedsiębiorstwa nie podlega przepisom ustawy o podatku od towarów i usług (art. 6 pkt 1 tej ustawy), a transakcja podlega podatkowi od czynności cywilnoprawnych, do którego zapłaty zobowiązany jest Kupujący.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Wartość zapasów zostanie skorygowana na podstawie inwentaryzacji przeprowadzonej nie wcześniej niż [LICZBA] dni przed Dniem Zamknięcia; różnica zostanie rozliczona w terminie [LICZBA] dni.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4. Zobowiązania Przedsiębiorstwa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Strony oświadczają, że znana im jest treść </w:t>
      </w:r>
      <w:r>
        <w:rPr>
          <w:sz w:val="21"/>
          <w:szCs w:val="21"/>
          <w:b/>
        </w:rPr>
        <w:t xml:space="preserve">art. 55⁴ Kodeksu cywilnego</w:t>
      </w:r>
      <w:r>
        <w:rPr>
          <w:sz w:val="21"/>
          <w:szCs w:val="21"/>
        </w:rPr>
        <w:t xml:space="preserve">, zgodnie z którym nabywca przedsiębiorstwa odpowiada solidarnie ze zbywcą za jego zobowiązania związane z prowadzeniem przedsiębiorstwa, do wartości nabytego przedsiębiorstwa według stanu z chwili nabycia i cen z chwili zaspokojenia wierzyciela, chyba że w chwili nabycia nie wiedział o nich mimo zachowania należytej staranności. Odpowiedzialności tej nie można bez zgody wierzyciela wyłączyć ani ograniczyć.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W relacji wewnętrznej między Stronami za wszelkie zobowiązania związane z prowadzeniem Przedsiębiorstwa powstałe </w:t>
      </w:r>
      <w:r>
        <w:rPr>
          <w:sz w:val="21"/>
          <w:szCs w:val="21"/>
          <w:b/>
        </w:rPr>
        <w:t xml:space="preserve">przed</w:t>
      </w:r>
      <w:r>
        <w:rPr>
          <w:sz w:val="21"/>
          <w:szCs w:val="21"/>
        </w:rPr>
        <w:t xml:space="preserve"> Dniem Zamknięcia odpowiada wyłącznie Sprzedający. Jeżeli Kupujący zostanie zmuszony do zaspokojenia takiego zobowiązania, przysługuje mu wobec Sprzedającego roszczenie regresowe w pełnej wysokości, płatne w terminie [LICZBA] dni od wezwania.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Kupujący przejmuje wyłącznie zobowiązania wymienione w </w:t>
      </w:r>
      <w:r>
        <w:rPr>
          <w:sz w:val="21"/>
          <w:szCs w:val="21"/>
          <w:b/>
        </w:rPr>
        <w:t xml:space="preserve">Załączniku nr 9</w:t>
      </w:r>
      <w:r>
        <w:rPr>
          <w:sz w:val="21"/>
          <w:szCs w:val="21"/>
        </w:rPr>
        <w:t xml:space="preserve">, za uprzednią pisemną zgodą wierzycieli (art. 519 § 2 pkt 2 Kodeksu cywilnego). Pozostałe zobowiązania nie przechodzą na Kupującego.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W zakresie zaległości podatkowych zastosowanie znajduje art. 112 Ordynacji podatkowej. Strony wystąpiły o zaświadczenie o wysokości zaległości podatkowych Sprzedającego w trybie art. 306g Ordynacji podatkowej; zaświadczenie stanowi </w:t>
      </w:r>
      <w:r>
        <w:rPr>
          <w:sz w:val="21"/>
          <w:szCs w:val="21"/>
          <w:b/>
        </w:rPr>
        <w:t xml:space="preserve">Załącznik nr 6</w:t>
      </w:r>
      <w:r>
        <w:rPr>
          <w:sz w:val="21"/>
          <w:szCs w:val="21"/>
        </w:rPr>
        <w:t xml:space="preserve">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Sprzedający zobowiązuje się zaspokoić wszystkie zobowiązania powstałe przed Dniem Zamknięcia w terminach ich wymagalności oraz zawiadomić swoich wierzycieli o zbyciu Przedsiębiorstwa w terminie [LICZBA] dni od Dnia Zamknięcia.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5. Pracownicy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Z Dniem Zamknięcia Kupujący staje się z mocy prawa stroną dotychczasowych stosunków pracy w trybie </w:t>
      </w:r>
      <w:r>
        <w:rPr>
          <w:sz w:val="21"/>
          <w:szCs w:val="21"/>
          <w:b/>
        </w:rPr>
        <w:t xml:space="preserve">art. 23¹ Kodeksu pracy</w:t>
      </w:r>
      <w:r>
        <w:rPr>
          <w:sz w:val="21"/>
          <w:szCs w:val="21"/>
        </w:rPr>
        <w:t xml:space="preserve"> (przejście zakładu pracy na innego pracodawcę). Wykaz pracowników stanowi </w:t>
      </w:r>
      <w:r>
        <w:rPr>
          <w:sz w:val="21"/>
          <w:szCs w:val="21"/>
          <w:b/>
        </w:rPr>
        <w:t xml:space="preserve">Załącznik nr 10</w:t>
      </w:r>
      <w:r>
        <w:rPr>
          <w:sz w:val="21"/>
          <w:szCs w:val="21"/>
        </w:rPr>
        <w:t xml:space="preserve">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Strony potwierdzają wykonanie obowiązku uprzedniego poinformowania pracowników o przewidywanym terminie i przyczynach przejścia oraz o jego skutkach prawnych, ekonomicznych i socjalnych.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Za zobowiązania wobec pracowników powstałe przed Dniem Zamknięcia — w tym zaległe wynagrodzenia, ekwiwalenty i składki — odpowiada Sprzedający, z zastrzeżeniem bezwzględnie obowiązujących przepisów o solidarnej odpowiedzialności.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Stan niewykorzystanych urlopów i nadgodzin na Dzień Zamknięcia wraz z ich wyceną zawiera </w:t>
      </w:r>
      <w:r>
        <w:rPr>
          <w:sz w:val="21"/>
          <w:szCs w:val="21"/>
          <w:b/>
        </w:rPr>
        <w:t xml:space="preserve">Załącznik nr 10</w:t>
      </w:r>
      <w:r>
        <w:rPr>
          <w:sz w:val="21"/>
          <w:szCs w:val="21"/>
        </w:rPr>
        <w:t xml:space="preserve">; kwota ta pomniejsza cenę / jest rozliczana odrębnie [wybrać jedno].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6. Wydanie Przedsiębiorstwa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Wydanie Przedsiębiorstwa Kupującemu nastąpi w dniu </w:t>
      </w:r>
      <w:r>
        <w:rPr>
          <w:sz w:val="21"/>
          <w:szCs w:val="21"/>
          <w:b/>
        </w:rPr>
        <w:t xml:space="preserve">[DATA]</w:t>
      </w:r>
      <w:r>
        <w:rPr>
          <w:sz w:val="21"/>
          <w:szCs w:val="21"/>
        </w:rPr>
        <w:t xml:space="preserve"> (dalej: </w:t>
      </w:r>
      <w:r>
        <w:rPr>
          <w:sz w:val="21"/>
          <w:szCs w:val="21"/>
          <w:b/>
        </w:rPr>
        <w:t xml:space="preserve">Dzień Zamknięcia</w:t>
      </w:r>
      <w:r>
        <w:rPr>
          <w:sz w:val="21"/>
          <w:szCs w:val="21"/>
        </w:rPr>
        <w:t xml:space="preserve">).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Wydanie zostanie stwierdzone protokołem zdawczo-odbiorczym obejmującym stan lokalu, spis wyposażenia, inwentaryzację zapasów, stany liczników mediów, rozliczenie kasy fiskalnej oraz przekazanie dostępów cyfrowych. Protokół stanowi integralną część niniejszej umowy.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Z Dniem Zamknięcia na Kupującego przechodzą korzyści i ciężary związane z Przedsiębiorstwem oraz ryzyko przypadkowej utraty lub uszkodzenia jego składników.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Sprzedający wyda Kupującemu całość dokumentacji Przedsiębiorstwa, w tym umowy, decyzje administracyjne i dokumentację pracowniczą.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7. Umowy z kontrahentami i prawa z umowy najmu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Przeniesienie praw i obowiązków z umowy najmu lokalu nastąpi na podstawie odrębnego trójstronnego porozumienia z wynajmującym, zawartego najpóźniej w Dniu Zamknięcia. Niezawarcie tego porozumienia stanowi [warunek rozwiązujący niniejszej umowy / podstawę odstąpienia przez Kupującego].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Sprzedający dołoży starań, by uzyskać zgody kontrahentów na przeniesienie umów wymienionych w Załączniku nr 3, i udzieli Kupującemu wsparcia przy ich przeniesieniu przez okres [LICZBA] dni od Dnia Zamknięcia.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Umowy, co do których nie uzyskano zgody kontrahenta, nie przechodzą na Kupującego; Strony uzgodnią sposób rozliczenia, jeżeli dotyczy to umowy istotnej dla działalności.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8. Zakaz konkurencji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Sprzedający zobowiązuje się, że przez okres </w:t>
      </w:r>
      <w:r>
        <w:rPr>
          <w:sz w:val="21"/>
          <w:szCs w:val="21"/>
          <w:b/>
        </w:rPr>
        <w:t xml:space="preserve">[2–3]</w:t>
      </w:r>
      <w:r>
        <w:rPr>
          <w:sz w:val="21"/>
          <w:szCs w:val="21"/>
        </w:rPr>
        <w:t xml:space="preserve"> lat od Dnia Zamknięcia nie będzie — bezpośrednio ani pośrednio, osobiście, przez podmioty powiązane ani jako wspólnik, członek organu, pracownik lub doradca — prowadził działalności konkurencyjnej wobec Przedsiębiorstwa na terenie [OKREŚLIĆ — np. miasta [MIASTO] i gmin ościennych].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Sprzedający zobowiązuje się nie podejmować działań zmierzających do przejęcia klientów, dostawców ani pracowników Przedsiębiorstwa.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Za naruszenie zobowiązań z ust. 1 lub 2 Sprzedający zapłaci karę umowną w wysokości 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za każde naruszenie; Kupujący może dochodzić odszkodowania przewyższającego karę umowną.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9. Wsparcie po transakcji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Sprzedający zobowiązuje się przez okres </w:t>
      </w:r>
      <w:r>
        <w:rPr>
          <w:sz w:val="21"/>
          <w:szCs w:val="21"/>
          <w:b/>
        </w:rPr>
        <w:t xml:space="preserve">[LICZBA]</w:t>
      </w:r>
      <w:r>
        <w:rPr>
          <w:sz w:val="21"/>
          <w:szCs w:val="21"/>
        </w:rPr>
        <w:t xml:space="preserve"> tygodni od Dnia Zamknięcia udzielać Kupującemu wsparcia we wdrożeniu w działalność Przedsiębiorstwa, w wymiarze do [LICZBA] godzin tygodniowo, w tym przedstawić go kluczowym dostawcom i klientom.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Wsparcie jest świadczone [nieodpłatnie w ramach ceny / odpłatnie, w wysokości [KWOTA] zł].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10. Postanowienia końcowe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Umowa wymaga formy pisemnej z podpisami notarialnie poświadczonymi (</w:t>
      </w:r>
      <w:r>
        <w:rPr>
          <w:sz w:val="21"/>
          <w:szCs w:val="21"/>
          <w:b/>
        </w:rPr>
        <w:t xml:space="preserve">art. 75¹ Kodeksu cywilnego</w:t>
      </w:r>
      <w:r>
        <w:rPr>
          <w:sz w:val="21"/>
          <w:szCs w:val="21"/>
        </w:rPr>
        <w:t xml:space="preserve">) pod rygorem nieważności. Jeżeli w skład Przedsiębiorstwa wchodzi nieruchomość lub prawo użytkowania wieczystego — umowa wymaga formy aktu notarialnego.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Zmiany umowy wymagają zachowania tej samej formy co umowa.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Koszty notarialne ponoszą Strony po połowie; podatek od czynności cywilnoprawnych ponosi Kupujący.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Załączniki nr 1–10 stanowią integralną część umowy.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W sprawach nieuregulowanych stosuje się przepisy Kodeksu cywilnego.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Spory rozstrzyga sąd właściwy miejscowo dla siedziby [Sprzedającego].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7.	</w:t>
      </w:r>
      <w:r>
        <w:rPr>
          <w:sz w:val="21"/>
          <w:szCs w:val="21"/>
        </w:rPr>
        <w:t xml:space="preserve">Umowę sporządzono w dwóch jednobrzmiących egzemplarzach, po jednym dla każdej ze Stron.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Sprzedający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[PODPIS, IMIĘ I NAZWISKO]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Kupujący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[PODPIS, IMIĘ I NAZWISKO]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120" w:after="0" w:line="276" w:lineRule="auto"/>
      </w:pPr>
      <w:r>
        <w:rPr>
          <w:sz w:val="16"/>
          <w:szCs w:val="16"/>
          <w:color w:val="6B7280"/>
        </w:rPr>
        <w:t xml:space="preserve">Niniejszy wzór ma charakter informacyjny i edukacyjny. Nie stanowi porady prawnej ani podatkowej. Przed podpisaniem jakiegokolwiek dokumentu skonsultuj jego treść z radcą prawnym lub adwokatem, dostosowując ją do okoliczności konkretnej transakcji.</w:t>
      </w:r>
    </w:p>
    <w:p>
      <w:pPr>
        <w:spacing w:before="80" w:after="0" w:line="276" w:lineRule="auto"/>
      </w:pPr>
      <w:r>
        <w:rPr>
          <w:sz w:val="16"/>
          <w:szCs w:val="16"/>
          <w:color w:val="6B7280"/>
        </w:rPr>
        <w:t xml:space="preserve">Pobrano z kupbiz.pl/wzory-dokumentow/umowa-sprzedazy-przedsiebiorstwa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pl-PL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Umowa sprzedaży przedsiębiorstwa (asset deal) — wzór</dc:title>
  <dc:description>Darmowy wzór umowy sprzedaży przedsiębiorstwa wg art. 55¹ k.c.: skład przedsiębiorstwa, alokacja ceny, oświadczenia i zapewnienia, art. 55⁴ k.c., przejście pracowników. Pobierz DOCX i PDF.</dc:description>
  <dc:creator>kupbiz.pl</dc:creator>
  <cp:lastModifiedBy>kupbiz.pl</cp:lastModifiedBy>
  <dcterms:created xsi:type="dcterms:W3CDTF">2026-01-01T00:00:00Z</dcterms:created>
  <dcterms:modified xsi:type="dcterms:W3CDTF">2026-01-01T00:00:00Z</dcterms:modified>
</cp:coreProperties>
</file>