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0" w:line="276" w:lineRule="auto"/>
      </w:pPr>
      <w:r>
        <w:rPr>
          <w:sz w:val="16"/>
          <w:szCs w:val="16"/>
          <w:color w:val="6B7280"/>
        </w:rPr>
        <w:t xml:space="preserve">kupbiz.pl · Wzory dokumentów M&amp;A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360" w:after="0" w:line="276" w:lineRule="auto"/>
      </w:pPr>
      <w:r>
        <w:rPr>
          <w:sz w:val="32"/>
          <w:szCs w:val="32"/>
          <w:b/>
        </w:rPr>
        <w:t xml:space="preserve">LIST INTENCYJNY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dotyczący nabycia [przedsiębiorstwa / zorganizowanej części przedsiębiorstwa / udziałów w spółce]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sporządzony w dniu </w:t>
      </w:r>
      <w:r>
        <w:rPr>
          <w:sz w:val="21"/>
          <w:szCs w:val="21"/>
          <w:b/>
        </w:rPr>
        <w:t xml:space="preserve">[DATA]</w:t>
      </w:r>
      <w:r>
        <w:rPr>
          <w:sz w:val="21"/>
          <w:szCs w:val="21"/>
        </w:rPr>
        <w:t xml:space="preserve"> w </w:t>
      </w:r>
      <w:r>
        <w:rPr>
          <w:sz w:val="21"/>
          <w:szCs w:val="21"/>
          <w:b/>
        </w:rPr>
        <w:t xml:space="preserve">[MIEJSCOWOŚĆ]</w:t>
      </w:r>
      <w:r>
        <w:rPr>
          <w:sz w:val="21"/>
          <w:szCs w:val="21"/>
        </w:rPr>
        <w:t xml:space="preserve"> pomiędzy:</w:t>
      </w: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[NAZWA SPÓŁKI / IMIĘ I NAZWISKO]</w:t>
      </w:r>
      <w:r>
        <w:rPr>
          <w:sz w:val="21"/>
          <w:szCs w:val="21"/>
        </w:rPr>
        <w:t xml:space="preserve">, z siedzibą w [ADRES], NIP [NIP], wpisaną do [KRS / CEIDG] pod numerem [NUMER] — zwaną dalej </w:t>
      </w:r>
      <w:r>
        <w:rPr>
          <w:sz w:val="21"/>
          <w:szCs w:val="21"/>
          <w:b/>
        </w:rPr>
        <w:t xml:space="preserve">Sprzedającym</w:t>
      </w:r>
      <w:r>
        <w:rPr>
          <w:sz w:val="21"/>
          <w:szCs w:val="21"/>
        </w:rPr>
        <w:t xml:space="preserve">,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a</w:t>
      </w: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[NAZWA SPÓŁKI / IMIĘ I NAZWISKO]</w:t>
      </w:r>
      <w:r>
        <w:rPr>
          <w:sz w:val="21"/>
          <w:szCs w:val="21"/>
        </w:rPr>
        <w:t xml:space="preserve">, z siedzibą w [ADRES], NIP [NIP] — zwanym dalej </w:t>
      </w:r>
      <w:r>
        <w:rPr>
          <w:sz w:val="21"/>
          <w:szCs w:val="21"/>
          <w:b/>
        </w:rPr>
        <w:t xml:space="preserve">Kupującym</w:t>
      </w:r>
      <w:r>
        <w:rPr>
          <w:sz w:val="21"/>
          <w:szCs w:val="21"/>
        </w:rPr>
        <w:t xml:space="preserve">,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łącznie zwanymi </w:t>
      </w:r>
      <w:r>
        <w:rPr>
          <w:sz w:val="21"/>
          <w:szCs w:val="21"/>
          <w:b/>
        </w:rPr>
        <w:t xml:space="preserve">Stronami</w:t>
      </w:r>
      <w:r>
        <w:rPr>
          <w:sz w:val="21"/>
          <w:szCs w:val="21"/>
        </w:rPr>
        <w:t xml:space="preserve">.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1. Przedmiot zamierzonej transakcji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Przedmiotem zamierzonej transakcji (dalej: </w:t>
      </w:r>
      <w:r>
        <w:rPr>
          <w:sz w:val="21"/>
          <w:szCs w:val="21"/>
          <w:b/>
        </w:rPr>
        <w:t xml:space="preserve">Transakcja</w:t>
      </w:r>
      <w:r>
        <w:rPr>
          <w:sz w:val="21"/>
          <w:szCs w:val="21"/>
        </w:rPr>
        <w:t xml:space="preserve">) jest nabycie przez Kupującego [przedsiębiorstwa w rozumieniu art. 55¹ Kodeksu cywilnego / zorganizowanej części przedsiębiorstwa / </w:t>
      </w:r>
      <w:r>
        <w:rPr>
          <w:sz w:val="21"/>
          <w:szCs w:val="21"/>
          <w:b/>
        </w:rPr>
        <w:t xml:space="preserve">[LICZBA]</w:t>
      </w:r>
      <w:r>
        <w:rPr>
          <w:sz w:val="21"/>
          <w:szCs w:val="21"/>
        </w:rPr>
        <w:t xml:space="preserve"> udziałów stanowiących </w:t>
      </w:r>
      <w:r>
        <w:rPr>
          <w:sz w:val="21"/>
          <w:szCs w:val="21"/>
          <w:b/>
        </w:rPr>
        <w:t xml:space="preserve">[PROCENT]%</w:t>
      </w:r>
      <w:r>
        <w:rPr>
          <w:sz w:val="21"/>
          <w:szCs w:val="21"/>
        </w:rPr>
        <w:t xml:space="preserve"> kapitału zakładowego spółki] prowadzonego pod nazwą </w:t>
      </w:r>
      <w:r>
        <w:rPr>
          <w:sz w:val="21"/>
          <w:szCs w:val="21"/>
          <w:b/>
        </w:rPr>
        <w:t xml:space="preserve">[NAZWA]</w:t>
      </w:r>
      <w:r>
        <w:rPr>
          <w:sz w:val="21"/>
          <w:szCs w:val="21"/>
        </w:rPr>
        <w:t xml:space="preserve"> w lokalizacji </w:t>
      </w:r>
      <w:r>
        <w:rPr>
          <w:sz w:val="21"/>
          <w:szCs w:val="21"/>
          <w:b/>
        </w:rPr>
        <w:t xml:space="preserve">[ADRES]</w:t>
      </w:r>
      <w:r>
        <w:rPr>
          <w:sz w:val="21"/>
          <w:szCs w:val="21"/>
        </w:rPr>
        <w:t xml:space="preserve">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W skład przedmiotu Transakcji wejdą w szczególności: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wyposażenie i środki trwałe zgodnie z załącznikiem nr 1 (spis inwentarza),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prawa z umowy najmu lokalu przy [ADRES], w drodze cesji,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oznaczenie indywidualizujące przedsiębiorstwo, prawa do znaku towarowego, domeny i profili w mediach społecznościowych,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bazy klientów, umowy z dostawcami oraz dokumentacja operacyjna,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[towar handlowy / zapasy magazynowe — rozliczane odrębnie, zgodnie z § 2 ust. 4].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Przedmiotem Transakcji </w:t>
      </w:r>
      <w:r>
        <w:rPr>
          <w:sz w:val="21"/>
          <w:szCs w:val="21"/>
          <w:b/>
        </w:rPr>
        <w:t xml:space="preserve">nie są</w:t>
      </w:r>
      <w:r>
        <w:rPr>
          <w:sz w:val="21"/>
          <w:szCs w:val="21"/>
        </w:rPr>
        <w:t xml:space="preserve"> objęte: [wymienić — np. należności i zobowiązania powstałe przed dniem zamknięcia, środki pieniężne w kasie i na rachunkach, pojazd prywatny właściciela].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2. Cena i struktura płatności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Strony wstępnie uzgadniają cenę za przedmiot Transakcji w wysokości </w:t>
      </w:r>
      <w:r>
        <w:rPr>
          <w:sz w:val="21"/>
          <w:szCs w:val="21"/>
          <w:b/>
        </w:rPr>
        <w:t xml:space="preserve">[KWOTA]</w:t>
      </w:r>
      <w:r>
        <w:rPr>
          <w:sz w:val="21"/>
          <w:szCs w:val="21"/>
        </w:rPr>
        <w:t xml:space="preserve"> zł netto (słownie: [KWOTA SŁOWNIE]).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Cena zostanie zapłacona w następujący sposób: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  <w:b/>
        </w:rPr>
        <w:t xml:space="preserve">[KWOTA]</w:t>
      </w:r>
      <w:r>
        <w:rPr>
          <w:sz w:val="21"/>
          <w:szCs w:val="21"/>
        </w:rPr>
        <w:t xml:space="preserve"> zł — zadatek płatny w terminie [LICZBA] dni od zawarcia umowy przedwstępnej,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  <w:b/>
        </w:rPr>
        <w:t xml:space="preserve">[KWOTA]</w:t>
      </w:r>
      <w:r>
        <w:rPr>
          <w:sz w:val="21"/>
          <w:szCs w:val="21"/>
        </w:rPr>
        <w:t xml:space="preserve"> zł — płatne w dniu zawarcia umowy przyrzeczonej (zamknięcie),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  <w:b/>
        </w:rPr>
        <w:t xml:space="preserve">[KWOTA]</w:t>
      </w:r>
      <w:r>
        <w:rPr>
          <w:sz w:val="21"/>
          <w:szCs w:val="21"/>
        </w:rPr>
        <w:t xml:space="preserve"> zł — earn-out płatny w terminie [LICZBA] miesięcy od zamknięcia, pod warunkiem osiągnięcia [OPIS WSKAŹNIKA, np. średniego miesięcznego przychodu nie niższego niż X zł].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Cena została skalkulowana przy założeniu, że [np. średni miesięczny zysk operacyjny wynosi X zł, a umowa najmu obowiązuje do DATA z opcją przedłużenia]. Istotne odstępstwo od tych założeń ujawnione w toku badania, o którym mowa w § 3, uprawnia Kupującego do renegocjacji ceny lub odstąpienia od dalszych rozmów.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Wartość towaru handlowego i zapasów zostanie ustalona odrębnie, na podstawie inwentaryzacji przeprowadzonej przez Strony nie wcześniej niż [LICZBA] dni przed zamknięciem, według [cen zakupu netto].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3. Due diligence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Sprzedający umożliwi Kupującemu i jego doradcom przeprowadzenie badania prawnego, finansowego i operacyjnego przedsiębiorstwa (</w:t>
      </w:r>
      <w:r>
        <w:rPr>
          <w:sz w:val="21"/>
          <w:szCs w:val="21"/>
          <w:b/>
        </w:rPr>
        <w:t xml:space="preserve">due diligence</w:t>
      </w:r>
      <w:r>
        <w:rPr>
          <w:sz w:val="21"/>
          <w:szCs w:val="21"/>
        </w:rPr>
        <w:t xml:space="preserve">) w terminie </w:t>
      </w:r>
      <w:r>
        <w:rPr>
          <w:sz w:val="21"/>
          <w:szCs w:val="21"/>
          <w:b/>
        </w:rPr>
        <w:t xml:space="preserve">[LICZBA]</w:t>
      </w:r>
      <w:r>
        <w:rPr>
          <w:sz w:val="21"/>
          <w:szCs w:val="21"/>
        </w:rPr>
        <w:t xml:space="preserve"> dni od podpisania niniejszego listu.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Sprzedający udostępni w szczególności: dokumentację finansową za ostatnie [24] miesiące, umowę najmu wraz z aneksami, umowy z kluczowymi dostawcami i klientami, dokumentację pracowniczą, decyzje i zezwolenia administracyjne oraz zaświadczenia o niezaleganiu z ZUS i US.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Badanie odbywa się na koszt Kupującego i z poszanowaniem umowy o zachowaniu poufności z dnia [DATA], która pozostaje w mocy.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4. Wyłączność negocjacyjna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Sprzedający zobowiązuje się, że przez okres </w:t>
      </w:r>
      <w:r>
        <w:rPr>
          <w:sz w:val="21"/>
          <w:szCs w:val="21"/>
          <w:b/>
        </w:rPr>
        <w:t xml:space="preserve">[LICZBA]</w:t>
      </w:r>
      <w:r>
        <w:rPr>
          <w:sz w:val="21"/>
          <w:szCs w:val="21"/>
        </w:rPr>
        <w:t xml:space="preserve"> dni od podpisania niniejszego listu (</w:t>
      </w:r>
      <w:r>
        <w:rPr>
          <w:sz w:val="21"/>
          <w:szCs w:val="21"/>
          <w:b/>
        </w:rPr>
        <w:t xml:space="preserve">Okres Wyłączności</w:t>
      </w:r>
      <w:r>
        <w:rPr>
          <w:sz w:val="21"/>
          <w:szCs w:val="21"/>
        </w:rPr>
        <w:t xml:space="preserve">) nie będzie prowadził z osobami trzecimi negocjacji dotyczących zbycia przedmiotu Transakcji, nie będzie przyjmował ani zachęcał do składania ofert, ani nie zawrze umowy o skutku rozporządzającym.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O otrzymaniu w Okresie Wyłączności niezamówionej oferty od osoby trzeciej Sprzedający niezwłocznie poinformuje Kupującego, bez ujawniania jej treści ani tożsamości oferenta.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Okres Wyłączności ulega zakończeniu przed terminem, jeżeli Kupujący pisemnie oświadczy o rezygnacji z Transakcji.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5. Warunki zawieszające zamknięcia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Zawarcie umowy przyrzeczonej uzależnione jest w szczególności od: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pozytywnego dla Kupującego wyniku due diligence,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uzyskania pisemnej zgody wynajmującego na cesję umowy najmu lokalu na rzecz Kupującego, na warunkach nie gorszych niż dotychczasowe,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uzyskania przez Kupującego finansowania w kwocie co najmniej [KWOTA] zł — o ile dotyczy,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braku istotnej niekorzystnej zmiany w działalności przedsiębiorstwa między dniem podpisania niniejszego listu a dniem zamknięcia,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5.	</w:t>
      </w:r>
      <w:r>
        <w:rPr>
          <w:sz w:val="21"/>
          <w:szCs w:val="21"/>
        </w:rPr>
        <w:t xml:space="preserve">[przeniesienia zezwolenia / koncesji / licencji na Kupującego — o ile dotyczy].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6. Harmonogram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Zakończenie due diligence: do dnia </w:t>
      </w:r>
      <w:r>
        <w:rPr>
          <w:sz w:val="21"/>
          <w:szCs w:val="21"/>
          <w:b/>
        </w:rPr>
        <w:t xml:space="preserve">[DATA]</w:t>
      </w:r>
      <w:r>
        <w:rPr>
          <w:sz w:val="21"/>
          <w:szCs w:val="21"/>
        </w:rPr>
        <w:t xml:space="preserve">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Podpisanie umowy przedwstępnej: do dnia </w:t>
      </w:r>
      <w:r>
        <w:rPr>
          <w:sz w:val="21"/>
          <w:szCs w:val="21"/>
          <w:b/>
        </w:rPr>
        <w:t xml:space="preserve">[DATA]</w:t>
      </w:r>
      <w:r>
        <w:rPr>
          <w:sz w:val="21"/>
          <w:szCs w:val="21"/>
        </w:rPr>
        <w:t xml:space="preserve">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Zamknięcie transakcji i wydanie przedsiębiorstwa: do dnia </w:t>
      </w:r>
      <w:r>
        <w:rPr>
          <w:sz w:val="21"/>
          <w:szCs w:val="21"/>
          <w:b/>
        </w:rPr>
        <w:t xml:space="preserve">[DATA]</w:t>
      </w:r>
      <w:r>
        <w:rPr>
          <w:sz w:val="21"/>
          <w:szCs w:val="21"/>
        </w:rPr>
        <w:t xml:space="preserve">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Strony dołożą starań, aby dotrzymać powyższych terminów; ich przekroczenie nie rodzi samo w sobie odpowiedzialności odszkodowawczej.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7. Charakter niewiążący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Postanowienia § 1–§ 3, § 5 i § 6 wyrażają wyłącznie intencje Stron i </w:t>
      </w:r>
      <w:r>
        <w:rPr>
          <w:sz w:val="21"/>
          <w:szCs w:val="21"/>
          <w:b/>
        </w:rPr>
        <w:t xml:space="preserve">nie stanowią</w:t>
      </w:r>
      <w:r>
        <w:rPr>
          <w:sz w:val="21"/>
          <w:szCs w:val="21"/>
        </w:rPr>
        <w:t xml:space="preserve"> oferty w rozumieniu art. 66 Kodeksu cywilnego ani zobowiązania do zawarcia umowy.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Zobowiązanie do dokonania Transakcji powstanie dopiero z chwilą zawarcia umowy przedwstępnej lub przyrzeczonej w wymaganej formie.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8. Postanowienia wiążące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Wiążący charakter mają postanowienia: § 4 (wyłączność), § 8 (niniejszy), § 9 (poufność) oraz § 10 ust. 1–3 (koszty, prawo właściwe, jurysdykcja).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9. Poufność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Strony zachowają w poufności fakt prowadzenia rozmów, treść niniejszego listu oraz informacje wymienione w toku due diligence, na zasadach określonych w umowie o zachowaniu poufności z dnia [DATA], a w razie jej braku — na zasadach odpowiadających standardowi tam przyjętemu, przez okres 2 lat.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10. Postanowienia końcowe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Każda ze Stron ponosi własne koszty doradców i badania; koszty opłat notarialnych i skarbowych związanych z zamknięciem ponosi [Kupujący / Strony po połowie].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Do niniejszego listu stosuje się prawo polskie.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Spory rozstrzyga sąd właściwy miejscowo dla siedziby [Sprzedającego].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Niniejszy list sporządzono w dwóch jednobrzmiących egzemplarzach, po jednym dla każdej ze Stron.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Sprzedający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[PODPIS, IMIĘ I NAZWISKO]</w:t>
      </w: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Kupujący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[PODPIS, IMIĘ I NAZWISKO]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120" w:after="0" w:line="276" w:lineRule="auto"/>
      </w:pPr>
      <w:r>
        <w:rPr>
          <w:sz w:val="16"/>
          <w:szCs w:val="16"/>
          <w:color w:val="6B7280"/>
        </w:rPr>
        <w:t xml:space="preserve">Niniejszy wzór ma charakter informacyjny i edukacyjny. Nie stanowi porady prawnej ani podatkowej. Przed podpisaniem jakiegokolwiek dokumentu skonsultuj jego treść z radcą prawnym lub adwokatem, dostosowując ją do okoliczności konkretnej transakcji.</w:t>
      </w:r>
    </w:p>
    <w:p>
      <w:pPr>
        <w:spacing w:before="80" w:after="0" w:line="276" w:lineRule="auto"/>
      </w:pPr>
      <w:r>
        <w:rPr>
          <w:sz w:val="16"/>
          <w:szCs w:val="16"/>
          <w:color w:val="6B7280"/>
        </w:rPr>
        <w:t xml:space="preserve">Pobrano z kupbiz.pl/wzory-dokumentow/list-intencyjny-loi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pl-PL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List intencyjny (LOI) przy zakupie firmy — wzór</dc:title>
  <dc:description>Darmowy wzór listu intencyjnego przy zakupie firmy: cena, struktura transakcji, wyłączność negocjacyjna, harmonogram due diligence. Pobierz DOCX i PDF.</dc:description>
  <dc:creator>kupbiz.pl</dc:creator>
  <cp:lastModifiedBy>kupbiz.pl</cp:lastModifiedBy>
  <dcterms:created xsi:type="dcterms:W3CDTF">2026-10-23T20:16:31Z</dcterms:created>
  <dcterms:modified xsi:type="dcterms:W3CDTF">2026-10-23T20:16:31Z</dcterms:modified>
</cp:coreProperties>
</file>